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12298" w:rsidRDefault="002B566D">
      <w:pPr>
        <w:rPr>
          <w:sz w:val="20"/>
          <w:szCs w:val="20"/>
        </w:rPr>
      </w:pPr>
      <w:r>
        <w:rPr>
          <w:noProof/>
          <w:sz w:val="20"/>
          <w:szCs w:val="20"/>
          <w:lang w:val="en-US" w:eastAsia="en-US"/>
        </w:rPr>
        <w:drawing>
          <wp:inline distT="0" distB="0" distL="0" distR="0">
            <wp:extent cx="5969000" cy="1765300"/>
            <wp:effectExtent l="25400" t="0" r="0" b="0"/>
            <wp:docPr id="2" name="Picture 1" descr=":::::Desktop:ef-document-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ef-document-header.png"/>
                    <pic:cNvPicPr>
                      <a:picLocks noChangeAspect="1" noChangeArrowheads="1"/>
                    </pic:cNvPicPr>
                  </pic:nvPicPr>
                  <pic:blipFill>
                    <a:blip r:embed="rId7"/>
                    <a:srcRect/>
                    <a:stretch>
                      <a:fillRect/>
                    </a:stretch>
                  </pic:blipFill>
                  <pic:spPr bwMode="auto">
                    <a:xfrm>
                      <a:off x="0" y="0"/>
                      <a:ext cx="5969000" cy="1765300"/>
                    </a:xfrm>
                    <a:prstGeom prst="rect">
                      <a:avLst/>
                    </a:prstGeom>
                    <a:noFill/>
                    <a:ln w="9525">
                      <a:noFill/>
                      <a:miter lim="800000"/>
                      <a:headEnd/>
                      <a:tailEnd/>
                    </a:ln>
                  </pic:spPr>
                </pic:pic>
              </a:graphicData>
            </a:graphic>
          </wp:inline>
        </w:drawing>
      </w:r>
    </w:p>
    <w:p w:rsidR="00712298" w:rsidRDefault="00712298">
      <w:pPr>
        <w:rPr>
          <w:sz w:val="20"/>
          <w:szCs w:val="20"/>
        </w:rPr>
      </w:pPr>
    </w:p>
    <w:p w:rsidR="00712298" w:rsidRPr="0045159E" w:rsidRDefault="005C731C">
      <w:pPr>
        <w:jc w:val="center"/>
        <w:rPr>
          <w:b/>
          <w:sz w:val="28"/>
          <w:szCs w:val="28"/>
        </w:rPr>
      </w:pPr>
      <w:r w:rsidRPr="0045159E">
        <w:rPr>
          <w:b/>
          <w:sz w:val="28"/>
          <w:szCs w:val="28"/>
        </w:rPr>
        <w:t xml:space="preserve">GUIDE TO OVERHEADS AND FULL COST RECOVERY </w:t>
      </w:r>
    </w:p>
    <w:p w:rsidR="00712298" w:rsidRPr="0045159E" w:rsidRDefault="00712298">
      <w:pPr>
        <w:jc w:val="center"/>
        <w:rPr>
          <w:b/>
        </w:rPr>
      </w:pPr>
    </w:p>
    <w:p w:rsidR="00712298" w:rsidRPr="0045159E" w:rsidRDefault="005C731C">
      <w:pPr>
        <w:rPr>
          <w:b/>
        </w:rPr>
      </w:pPr>
      <w:r w:rsidRPr="0045159E">
        <w:rPr>
          <w:b/>
        </w:rPr>
        <w:t>DEFINITIONS</w:t>
      </w:r>
    </w:p>
    <w:p w:rsidR="00712298" w:rsidRPr="0045159E" w:rsidRDefault="00712298">
      <w:pPr>
        <w:rPr>
          <w:b/>
        </w:rPr>
      </w:pPr>
    </w:p>
    <w:p w:rsidR="00712298" w:rsidRPr="0045159E" w:rsidRDefault="005C731C">
      <w:r w:rsidRPr="0045159E">
        <w:t xml:space="preserve">Generally, organisations are faced with 2 sorts of costs: </w:t>
      </w:r>
      <w:r w:rsidRPr="0045159E">
        <w:rPr>
          <w:b/>
        </w:rPr>
        <w:t xml:space="preserve">‘project’ </w:t>
      </w:r>
      <w:r w:rsidRPr="0045159E">
        <w:t xml:space="preserve">costs and </w:t>
      </w:r>
      <w:r w:rsidRPr="0045159E">
        <w:rPr>
          <w:b/>
        </w:rPr>
        <w:t xml:space="preserve">‘overhead’ </w:t>
      </w:r>
      <w:r w:rsidRPr="0045159E">
        <w:t>costs.</w:t>
      </w:r>
    </w:p>
    <w:p w:rsidR="00712298" w:rsidRPr="0045159E" w:rsidRDefault="00712298"/>
    <w:p w:rsidR="00712298" w:rsidRPr="0045159E" w:rsidRDefault="005C731C">
      <w:pPr>
        <w:jc w:val="both"/>
      </w:pPr>
      <w:r w:rsidRPr="0045159E">
        <w:rPr>
          <w:b/>
        </w:rPr>
        <w:t>Overhead costs</w:t>
      </w:r>
      <w:r w:rsidRPr="0045159E">
        <w:t xml:space="preserve"> within organisations are known variously as ‘core costs’, ‘running costs’ or ‘indirect costs’. </w:t>
      </w:r>
    </w:p>
    <w:p w:rsidR="00712298" w:rsidRPr="0045159E" w:rsidRDefault="00712298">
      <w:pPr>
        <w:jc w:val="both"/>
      </w:pPr>
    </w:p>
    <w:p w:rsidR="00712298" w:rsidRPr="0045159E" w:rsidRDefault="005C731C">
      <w:pPr>
        <w:jc w:val="both"/>
      </w:pPr>
      <w:r w:rsidRPr="0045159E">
        <w:t>Examples of these costs might include such things as:</w:t>
      </w:r>
    </w:p>
    <w:p w:rsidR="00712298" w:rsidRPr="0045159E" w:rsidRDefault="00712298">
      <w:pPr>
        <w:jc w:val="both"/>
      </w:pPr>
    </w:p>
    <w:p w:rsidR="00712298" w:rsidRPr="0045159E" w:rsidRDefault="005C731C">
      <w:pPr>
        <w:numPr>
          <w:ilvl w:val="0"/>
          <w:numId w:val="1"/>
        </w:numPr>
        <w:pBdr>
          <w:top w:val="nil"/>
          <w:left w:val="nil"/>
          <w:bottom w:val="nil"/>
          <w:right w:val="nil"/>
          <w:between w:val="nil"/>
        </w:pBdr>
        <w:jc w:val="both"/>
      </w:pPr>
      <w:r w:rsidRPr="0045159E">
        <w:t>Office and administrative staff (salaries, HR costs, etc.)</w:t>
      </w:r>
    </w:p>
    <w:p w:rsidR="00712298" w:rsidRPr="0045159E" w:rsidRDefault="005C731C">
      <w:pPr>
        <w:numPr>
          <w:ilvl w:val="0"/>
          <w:numId w:val="1"/>
        </w:numPr>
        <w:pBdr>
          <w:top w:val="nil"/>
          <w:left w:val="nil"/>
          <w:bottom w:val="nil"/>
          <w:right w:val="nil"/>
          <w:between w:val="nil"/>
        </w:pBdr>
        <w:jc w:val="both"/>
      </w:pPr>
      <w:r w:rsidRPr="0045159E">
        <w:t>Premises costs such as rent, heat, light, rates</w:t>
      </w:r>
    </w:p>
    <w:p w:rsidR="00712298" w:rsidRPr="0045159E" w:rsidRDefault="005C731C">
      <w:pPr>
        <w:numPr>
          <w:ilvl w:val="0"/>
          <w:numId w:val="1"/>
        </w:numPr>
        <w:pBdr>
          <w:top w:val="nil"/>
          <w:left w:val="nil"/>
          <w:bottom w:val="nil"/>
          <w:right w:val="nil"/>
          <w:between w:val="nil"/>
        </w:pBdr>
        <w:jc w:val="both"/>
      </w:pPr>
      <w:r w:rsidRPr="0045159E">
        <w:t>IT equipment costs</w:t>
      </w:r>
    </w:p>
    <w:p w:rsidR="00712298" w:rsidRPr="0045159E" w:rsidRDefault="005C731C">
      <w:pPr>
        <w:numPr>
          <w:ilvl w:val="0"/>
          <w:numId w:val="1"/>
        </w:numPr>
        <w:pBdr>
          <w:top w:val="nil"/>
          <w:left w:val="nil"/>
          <w:bottom w:val="nil"/>
          <w:right w:val="nil"/>
          <w:between w:val="nil"/>
        </w:pBdr>
      </w:pPr>
      <w:r w:rsidRPr="0045159E">
        <w:t>Training, fundraising and governance costs</w:t>
      </w:r>
      <w:r w:rsidRPr="0045159E">
        <w:br/>
      </w:r>
    </w:p>
    <w:p w:rsidR="00712298" w:rsidRPr="0045159E" w:rsidRDefault="005C731C">
      <w:pPr>
        <w:jc w:val="both"/>
      </w:pPr>
      <w:r w:rsidRPr="0045159E">
        <w:rPr>
          <w:b/>
        </w:rPr>
        <w:t>Project costs</w:t>
      </w:r>
      <w:r w:rsidRPr="0045159E">
        <w:t xml:space="preserve"> are also known as ‘direct costs’ – these are the precise costs based simply on running a project. The reality is that organisations cannot run multiple projects without also finding funding for their ‘overhead’ costs.</w:t>
      </w:r>
    </w:p>
    <w:p w:rsidR="00712298" w:rsidRPr="0045159E" w:rsidRDefault="00712298">
      <w:pPr>
        <w:jc w:val="both"/>
      </w:pPr>
    </w:p>
    <w:p w:rsidR="00712298" w:rsidRPr="0045159E" w:rsidRDefault="005C731C">
      <w:pPr>
        <w:jc w:val="both"/>
        <w:rPr>
          <w:b/>
        </w:rPr>
      </w:pPr>
      <w:r w:rsidRPr="0045159E">
        <w:rPr>
          <w:b/>
        </w:rPr>
        <w:t>INDIVIDUALS</w:t>
      </w:r>
    </w:p>
    <w:p w:rsidR="00712298" w:rsidRPr="0045159E" w:rsidRDefault="00712298">
      <w:pPr>
        <w:jc w:val="both"/>
      </w:pPr>
    </w:p>
    <w:p w:rsidR="00712298" w:rsidRPr="0045159E" w:rsidRDefault="005C731C">
      <w:pPr>
        <w:jc w:val="both"/>
      </w:pPr>
      <w:r w:rsidRPr="0045159E">
        <w:rPr>
          <w:highlight w:val="white"/>
        </w:rPr>
        <w:t xml:space="preserve">In the case of individuals overheads are more likely to be restricted to premises costs such as rent, heat, light, IT costs – arising either from a rented office or a ‘home office’. You can claim for these using the Simple </w:t>
      </w:r>
      <w:r w:rsidR="0045159E" w:rsidRPr="0045159E">
        <w:rPr>
          <w:highlight w:val="white"/>
        </w:rPr>
        <w:t>m</w:t>
      </w:r>
      <w:r w:rsidRPr="0045159E">
        <w:rPr>
          <w:highlight w:val="white"/>
        </w:rPr>
        <w:t xml:space="preserve">ethod below. If you need further advice on whether other items, such as insurance costs and salary costs are considered as ‘direct project costs’ or ‘overheads’, </w:t>
      </w:r>
      <w:hyperlink r:id="rId8" w:history="1">
        <w:r w:rsidRPr="008B4FC2">
          <w:rPr>
            <w:rStyle w:val="Hyperlink"/>
          </w:rPr>
          <w:t>please contact us</w:t>
        </w:r>
      </w:hyperlink>
      <w:r w:rsidRPr="0045159E">
        <w:rPr>
          <w:highlight w:val="white"/>
        </w:rPr>
        <w:t>.</w:t>
      </w:r>
    </w:p>
    <w:p w:rsidR="00712298" w:rsidRPr="0045159E" w:rsidRDefault="00712298">
      <w:pPr>
        <w:jc w:val="both"/>
        <w:rPr>
          <w:b/>
        </w:rPr>
      </w:pPr>
    </w:p>
    <w:p w:rsidR="00712298" w:rsidRPr="0045159E" w:rsidRDefault="005C731C">
      <w:pPr>
        <w:jc w:val="both"/>
        <w:rPr>
          <w:b/>
        </w:rPr>
      </w:pPr>
      <w:r w:rsidRPr="0045159E">
        <w:rPr>
          <w:b/>
        </w:rPr>
        <w:t>PRINCIPLES</w:t>
      </w:r>
    </w:p>
    <w:p w:rsidR="00712298" w:rsidRPr="0045159E" w:rsidRDefault="00712298">
      <w:pPr>
        <w:jc w:val="both"/>
        <w:rPr>
          <w:b/>
        </w:rPr>
      </w:pPr>
    </w:p>
    <w:p w:rsidR="00712298" w:rsidRPr="0045159E" w:rsidRDefault="005C731C">
      <w:pPr>
        <w:jc w:val="both"/>
      </w:pPr>
      <w:r w:rsidRPr="0045159E">
        <w:rPr>
          <w:highlight w:val="white"/>
        </w:rPr>
        <w:t>We do, of course, appreciate that you will have overheads and we offer two ways, based on the principle called Full Cost Recovery or FCR, whereby you can recover a proportion of these. The two options are:</w:t>
      </w:r>
    </w:p>
    <w:p w:rsidR="00712298" w:rsidRPr="0045159E" w:rsidRDefault="00712298">
      <w:pPr>
        <w:jc w:val="both"/>
      </w:pPr>
    </w:p>
    <w:p w:rsidR="00712298" w:rsidRPr="0045159E" w:rsidRDefault="005C731C">
      <w:pPr>
        <w:jc w:val="both"/>
        <w:rPr>
          <w:b/>
        </w:rPr>
      </w:pPr>
      <w:r w:rsidRPr="0045159E">
        <w:rPr>
          <w:b/>
        </w:rPr>
        <w:t>1. Simple method</w:t>
      </w:r>
    </w:p>
    <w:p w:rsidR="00712298" w:rsidRPr="0045159E" w:rsidRDefault="005C731C">
      <w:pPr>
        <w:jc w:val="both"/>
      </w:pPr>
      <w:r w:rsidRPr="0045159E">
        <w:rPr>
          <w:highlight w:val="white"/>
        </w:rPr>
        <w:t>Using this option you can recover your overheads without having to make a detailed calculation:</w:t>
      </w:r>
    </w:p>
    <w:p w:rsidR="00712298" w:rsidRPr="0045159E" w:rsidRDefault="00712298">
      <w:pPr>
        <w:jc w:val="both"/>
      </w:pPr>
    </w:p>
    <w:p w:rsidR="00712298" w:rsidRPr="0045159E" w:rsidRDefault="005C731C">
      <w:pPr>
        <w:numPr>
          <w:ilvl w:val="0"/>
          <w:numId w:val="2"/>
        </w:numPr>
        <w:pBdr>
          <w:top w:val="nil"/>
          <w:left w:val="nil"/>
          <w:bottom w:val="nil"/>
          <w:right w:val="nil"/>
          <w:between w:val="nil"/>
        </w:pBdr>
        <w:jc w:val="both"/>
      </w:pPr>
      <w:r w:rsidRPr="0045159E">
        <w:rPr>
          <w:highlight w:val="white"/>
        </w:rPr>
        <w:t>Simply calculate 10% of the total cost of your project and add this sum to your application, identifying it on the form as 'FCR' or 'Contribution to Overheads.</w:t>
      </w:r>
    </w:p>
    <w:p w:rsidR="00712298" w:rsidRPr="0045159E" w:rsidRDefault="005C731C">
      <w:pPr>
        <w:numPr>
          <w:ilvl w:val="0"/>
          <w:numId w:val="2"/>
        </w:numPr>
        <w:pBdr>
          <w:top w:val="nil"/>
          <w:left w:val="nil"/>
          <w:bottom w:val="nil"/>
          <w:right w:val="nil"/>
          <w:between w:val="nil"/>
        </w:pBdr>
        <w:jc w:val="both"/>
      </w:pPr>
      <w:r w:rsidRPr="0045159E">
        <w:t xml:space="preserve">You will need to justify this figure by providing some simple information* that makes clear your overheads are </w:t>
      </w:r>
      <w:r w:rsidRPr="0045159E">
        <w:rPr>
          <w:u w:val="single"/>
        </w:rPr>
        <w:t>at least</w:t>
      </w:r>
      <w:r w:rsidRPr="0045159E">
        <w:t xml:space="preserve"> the figure that you are requesting.</w:t>
      </w:r>
    </w:p>
    <w:p w:rsidR="00712298" w:rsidRPr="0045159E" w:rsidRDefault="00712298">
      <w:pPr>
        <w:jc w:val="both"/>
      </w:pPr>
    </w:p>
    <w:p w:rsidR="002B566D" w:rsidRDefault="005C731C">
      <w:pPr>
        <w:jc w:val="both"/>
        <w:rPr>
          <w:i/>
        </w:rPr>
      </w:pPr>
      <w:r w:rsidRPr="0045159E">
        <w:rPr>
          <w:i/>
        </w:rPr>
        <w:t>* This information will be a simple list of your annual overhead costs, provided on a Word or Excel spreadsheet and sent as an attachment with your application.</w:t>
      </w:r>
    </w:p>
    <w:p w:rsidR="002B566D" w:rsidRDefault="002B566D">
      <w:pPr>
        <w:rPr>
          <w:i/>
        </w:rPr>
      </w:pPr>
      <w:r>
        <w:rPr>
          <w:i/>
        </w:rPr>
        <w:br w:type="page"/>
      </w:r>
    </w:p>
    <w:p w:rsidR="00712298" w:rsidRPr="0045159E" w:rsidRDefault="005C731C">
      <w:pPr>
        <w:jc w:val="both"/>
        <w:rPr>
          <w:b/>
        </w:rPr>
      </w:pPr>
      <w:r w:rsidRPr="0045159E">
        <w:rPr>
          <w:b/>
        </w:rPr>
        <w:t>2. Detailed method</w:t>
      </w:r>
    </w:p>
    <w:p w:rsidR="00712298" w:rsidRDefault="005C731C" w:rsidP="008B4FC2">
      <w:pPr>
        <w:jc w:val="both"/>
      </w:pPr>
      <w:r w:rsidRPr="0045159E">
        <w:t>This option provides you with the potential to more accurately recover overhead costs but is significantly more complicated. Please refer to the spreadsheet provided at the bottom of the page at</w:t>
      </w:r>
      <w:proofErr w:type="gramStart"/>
      <w:r w:rsidRPr="0045159E">
        <w:t xml:space="preserve">: </w:t>
      </w:r>
      <w:r w:rsidR="008B4FC2">
        <w:t xml:space="preserve"> </w:t>
      </w:r>
      <w:proofErr w:type="gramEnd"/>
      <w:hyperlink r:id="rId9" w:history="1">
        <w:r w:rsidR="008B4FC2" w:rsidRPr="008B4FC2">
          <w:rPr>
            <w:rStyle w:val="Hyperlink"/>
          </w:rPr>
          <w:t>https://www.tnlcommunityfund.org.uk/funding/funding-guidance/full-cost-recovery</w:t>
        </w:r>
      </w:hyperlink>
    </w:p>
    <w:p w:rsidR="008B4FC2" w:rsidRDefault="008B4FC2">
      <w:pPr>
        <w:jc w:val="both"/>
      </w:pPr>
    </w:p>
    <w:p w:rsidR="00712298" w:rsidRPr="0045159E" w:rsidRDefault="005C731C">
      <w:pPr>
        <w:jc w:val="both"/>
      </w:pPr>
      <w:r w:rsidRPr="0045159E">
        <w:t>There is detailed guidance on this site to help you complete the spreadsheet. You will need to send us a copy of this spreadsheet with your application, including on your application form the calculated value of FCR you are requesting.</w:t>
      </w:r>
    </w:p>
    <w:p w:rsidR="00712298" w:rsidRPr="0045159E" w:rsidRDefault="00712298">
      <w:pPr>
        <w:pBdr>
          <w:top w:val="nil"/>
          <w:left w:val="nil"/>
          <w:bottom w:val="nil"/>
          <w:right w:val="nil"/>
          <w:between w:val="nil"/>
        </w:pBdr>
        <w:ind w:left="720"/>
        <w:jc w:val="both"/>
      </w:pPr>
    </w:p>
    <w:p w:rsidR="00712298" w:rsidRPr="0045159E" w:rsidRDefault="005C731C">
      <w:pPr>
        <w:jc w:val="both"/>
        <w:rPr>
          <w:b/>
        </w:rPr>
      </w:pPr>
      <w:r w:rsidRPr="0045159E">
        <w:rPr>
          <w:b/>
        </w:rPr>
        <w:t>NB Make sure the addition of your FCR/overhead contribution doesn’t take your application request above the maximum grant request! If it does you’ll need to adjust the scope of your project accordingly.</w:t>
      </w:r>
    </w:p>
    <w:p w:rsidR="00712298" w:rsidRDefault="00712298">
      <w:pPr>
        <w:jc w:val="both"/>
        <w:rPr>
          <w:b/>
        </w:rPr>
      </w:pPr>
    </w:p>
    <w:p w:rsidR="00712298" w:rsidRDefault="00712298">
      <w:pPr>
        <w:jc w:val="both"/>
      </w:pPr>
    </w:p>
    <w:p w:rsidR="00712298" w:rsidRDefault="005C731C">
      <w:pPr>
        <w:jc w:val="center"/>
      </w:pPr>
      <w:r>
        <w:t xml:space="preserve">- </w:t>
      </w:r>
      <w:r>
        <w:rPr>
          <w:rFonts w:ascii="Menlo Regular" w:eastAsia="Wingdings" w:hAnsi="Menlo Regular" w:cs="Menlo Regular"/>
        </w:rPr>
        <w:t>✧</w:t>
      </w:r>
      <w:r>
        <w:t xml:space="preserve"> -</w:t>
      </w:r>
    </w:p>
    <w:p w:rsidR="00712298" w:rsidRDefault="00712298">
      <w:pPr>
        <w:jc w:val="both"/>
      </w:pPr>
    </w:p>
    <w:p w:rsidR="00712298" w:rsidRDefault="00712298"/>
    <w:sectPr w:rsidR="00712298" w:rsidSect="009B7464">
      <w:headerReference w:type="default" r:id="rId10"/>
      <w:footerReference w:type="default" r:id="rId11"/>
      <w:pgSz w:w="11906" w:h="16838"/>
      <w:pgMar w:top="1247" w:right="1247" w:bottom="1247" w:left="1247" w:header="709" w:footer="709" w:gutter="0"/>
      <w:pgNumType w:start="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85B5E5" w15:done="0"/>
  <w15:commentEx w15:paraId="28AD2F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5B5E5" w16cid:durableId="20289D59"/>
  <w16cid:commentId w16cid:paraId="28AD2F7F" w16cid:durableId="20289E5C"/>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C731C" w:rsidRDefault="005C731C">
      <w:r>
        <w:separator/>
      </w:r>
    </w:p>
  </w:endnote>
  <w:endnote w:type="continuationSeparator" w:id="1">
    <w:p w:rsidR="005C731C" w:rsidRDefault="005C731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Arial"/>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Georgia">
    <w:panose1 w:val="02040502050405020303"/>
    <w:charset w:val="00"/>
    <w:family w:val="auto"/>
    <w:pitch w:val="variable"/>
    <w:sig w:usb0="00000003" w:usb1="00000000" w:usb2="00000000" w:usb3="00000000" w:csb0="00000001" w:csb1="00000000"/>
  </w:font>
  <w:font w:name="Segoe UI">
    <w:altName w:val="Geneva"/>
    <w:charset w:val="00"/>
    <w:family w:val="swiss"/>
    <w:pitch w:val="variable"/>
    <w:sig w:usb0="E4002EFF" w:usb1="C000E47F" w:usb2="00000009" w:usb3="00000000" w:csb0="000001FF" w:csb1="00000000"/>
  </w:font>
  <w:font w:name="Menlo Regular">
    <w:panose1 w:val="020B0609030804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59"/>
    <w:family w:val="auto"/>
    <w:pitch w:val="variable"/>
    <w:sig w:usb0="00000201" w:usb1="00000000" w:usb2="00000000" w:usb3="00000000" w:csb0="00000004"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12298" w:rsidRDefault="005C731C">
    <w:pPr>
      <w:pBdr>
        <w:top w:val="nil"/>
        <w:left w:val="nil"/>
        <w:bottom w:val="nil"/>
        <w:right w:val="nil"/>
        <w:between w:val="nil"/>
      </w:pBdr>
      <w:tabs>
        <w:tab w:val="center" w:pos="4513"/>
        <w:tab w:val="right" w:pos="9026"/>
      </w:tabs>
      <w:jc w:val="center"/>
      <w:rPr>
        <w:color w:val="808080"/>
        <w:sz w:val="18"/>
        <w:szCs w:val="18"/>
      </w:rPr>
    </w:pPr>
    <w:r>
      <w:rPr>
        <w:color w:val="808080"/>
        <w:sz w:val="18"/>
        <w:szCs w:val="18"/>
      </w:rPr>
      <w:t>V080118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C731C" w:rsidRDefault="005C731C">
      <w:r>
        <w:separator/>
      </w:r>
    </w:p>
  </w:footnote>
  <w:footnote w:type="continuationSeparator" w:id="1">
    <w:p w:rsidR="005C731C" w:rsidRDefault="005C731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12298" w:rsidRDefault="005C731C">
    <w:pPr>
      <w:pBdr>
        <w:top w:val="nil"/>
        <w:left w:val="nil"/>
        <w:bottom w:val="nil"/>
        <w:right w:val="nil"/>
        <w:between w:val="nil"/>
      </w:pBdr>
      <w:tabs>
        <w:tab w:val="center" w:pos="4513"/>
        <w:tab w:val="right" w:pos="9026"/>
      </w:tabs>
      <w:jc w:val="right"/>
      <w:rPr>
        <w:color w:val="808080"/>
        <w:sz w:val="18"/>
        <w:szCs w:val="18"/>
      </w:rPr>
    </w:pPr>
    <w:r>
      <w:rPr>
        <w:color w:val="808080"/>
        <w:sz w:val="18"/>
        <w:szCs w:val="18"/>
      </w:rPr>
      <w:t xml:space="preserve">Page </w:t>
    </w:r>
    <w:r w:rsidR="00251696">
      <w:rPr>
        <w:color w:val="808080"/>
        <w:sz w:val="18"/>
        <w:szCs w:val="18"/>
      </w:rPr>
      <w:fldChar w:fldCharType="begin"/>
    </w:r>
    <w:r>
      <w:rPr>
        <w:color w:val="808080"/>
        <w:sz w:val="18"/>
        <w:szCs w:val="18"/>
      </w:rPr>
      <w:instrText>PAGE</w:instrText>
    </w:r>
    <w:r w:rsidR="00251696">
      <w:rPr>
        <w:color w:val="808080"/>
        <w:sz w:val="18"/>
        <w:szCs w:val="18"/>
      </w:rPr>
      <w:fldChar w:fldCharType="separate"/>
    </w:r>
    <w:r w:rsidR="002B566D">
      <w:rPr>
        <w:noProof/>
        <w:color w:val="808080"/>
        <w:sz w:val="18"/>
        <w:szCs w:val="18"/>
      </w:rPr>
      <w:t>2</w:t>
    </w:r>
    <w:r w:rsidR="00251696">
      <w:rPr>
        <w:color w:val="808080"/>
        <w:sz w:val="18"/>
        <w:szCs w:val="18"/>
      </w:rPr>
      <w:fldChar w:fldCharType="end"/>
    </w:r>
    <w:r>
      <w:rPr>
        <w:color w:val="808080"/>
        <w:sz w:val="18"/>
        <w:szCs w:val="18"/>
      </w:rPr>
      <w:t xml:space="preserve"> of </w:t>
    </w:r>
    <w:r w:rsidR="00251696">
      <w:rPr>
        <w:color w:val="808080"/>
        <w:sz w:val="18"/>
        <w:szCs w:val="18"/>
      </w:rPr>
      <w:fldChar w:fldCharType="begin"/>
    </w:r>
    <w:r>
      <w:rPr>
        <w:color w:val="808080"/>
        <w:sz w:val="18"/>
        <w:szCs w:val="18"/>
      </w:rPr>
      <w:instrText>NUMPAGES</w:instrText>
    </w:r>
    <w:r w:rsidR="00251696">
      <w:rPr>
        <w:color w:val="808080"/>
        <w:sz w:val="18"/>
        <w:szCs w:val="18"/>
      </w:rPr>
      <w:fldChar w:fldCharType="separate"/>
    </w:r>
    <w:r w:rsidR="002B566D">
      <w:rPr>
        <w:noProof/>
        <w:color w:val="808080"/>
        <w:sz w:val="18"/>
        <w:szCs w:val="18"/>
      </w:rPr>
      <w:t>2</w:t>
    </w:r>
    <w:r w:rsidR="00251696">
      <w:rPr>
        <w:color w:val="808080"/>
        <w:sz w:val="18"/>
        <w:szCs w:val="18"/>
      </w:rPr>
      <w:fldChar w:fldCharType="end"/>
    </w:r>
  </w:p>
  <w:p w:rsidR="00712298" w:rsidRDefault="00712298">
    <w:pPr>
      <w:pBdr>
        <w:top w:val="nil"/>
        <w:left w:val="nil"/>
        <w:bottom w:val="nil"/>
        <w:right w:val="nil"/>
        <w:between w:val="nil"/>
      </w:pBdr>
      <w:tabs>
        <w:tab w:val="center" w:pos="4513"/>
        <w:tab w:val="right" w:pos="9026"/>
      </w:tabs>
      <w:rPr>
        <w:color w:val="00000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D176B34"/>
    <w:multiLevelType w:val="multilevel"/>
    <w:tmpl w:val="01683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B59603F"/>
    <w:multiLevelType w:val="multilevel"/>
    <w:tmpl w:val="54826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Jackson">
    <w15:presenceInfo w15:providerId="Windows Live" w15:userId="53880839a1d183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712298"/>
    <w:rsid w:val="00251696"/>
    <w:rsid w:val="002B566D"/>
    <w:rsid w:val="0045159E"/>
    <w:rsid w:val="005C731C"/>
    <w:rsid w:val="00712298"/>
    <w:rsid w:val="00884724"/>
    <w:rsid w:val="008B4FC2"/>
    <w:rsid w:val="009B7464"/>
    <w:rsid w:val="00D23F06"/>
  </w:rsids>
  <m:mathPr>
    <m:mathFont m:val="Georgia"/>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4"/>
  </w:style>
  <w:style w:type="paragraph" w:styleId="Heading1">
    <w:name w:val="heading 1"/>
    <w:basedOn w:val="Normal"/>
    <w:next w:val="Normal"/>
    <w:uiPriority w:val="9"/>
    <w:qFormat/>
    <w:rsid w:val="009B746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B746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B746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B746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B7464"/>
    <w:pPr>
      <w:keepNext/>
      <w:keepLines/>
      <w:spacing w:before="220" w:after="40"/>
      <w:outlineLvl w:val="4"/>
    </w:pPr>
    <w:rPr>
      <w:b/>
    </w:rPr>
  </w:style>
  <w:style w:type="paragraph" w:styleId="Heading6">
    <w:name w:val="heading 6"/>
    <w:basedOn w:val="Normal"/>
    <w:next w:val="Normal"/>
    <w:uiPriority w:val="9"/>
    <w:semiHidden/>
    <w:unhideWhenUsed/>
    <w:qFormat/>
    <w:rsid w:val="009B7464"/>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9B7464"/>
    <w:pPr>
      <w:keepNext/>
      <w:keepLines/>
      <w:spacing w:before="480" w:after="120"/>
    </w:pPr>
    <w:rPr>
      <w:b/>
      <w:sz w:val="72"/>
      <w:szCs w:val="72"/>
    </w:rPr>
  </w:style>
  <w:style w:type="paragraph" w:styleId="Subtitle">
    <w:name w:val="Subtitle"/>
    <w:basedOn w:val="Normal"/>
    <w:next w:val="Normal"/>
    <w:uiPriority w:val="11"/>
    <w:qFormat/>
    <w:rsid w:val="009B7464"/>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5159E"/>
    <w:rPr>
      <w:sz w:val="16"/>
      <w:szCs w:val="16"/>
    </w:rPr>
  </w:style>
  <w:style w:type="paragraph" w:styleId="CommentText">
    <w:name w:val="annotation text"/>
    <w:basedOn w:val="Normal"/>
    <w:link w:val="CommentTextChar"/>
    <w:uiPriority w:val="99"/>
    <w:semiHidden/>
    <w:unhideWhenUsed/>
    <w:rsid w:val="0045159E"/>
    <w:rPr>
      <w:sz w:val="20"/>
      <w:szCs w:val="20"/>
    </w:rPr>
  </w:style>
  <w:style w:type="character" w:customStyle="1" w:styleId="CommentTextChar">
    <w:name w:val="Comment Text Char"/>
    <w:basedOn w:val="DefaultParagraphFont"/>
    <w:link w:val="CommentText"/>
    <w:uiPriority w:val="99"/>
    <w:semiHidden/>
    <w:rsid w:val="0045159E"/>
    <w:rPr>
      <w:sz w:val="20"/>
      <w:szCs w:val="20"/>
    </w:rPr>
  </w:style>
  <w:style w:type="paragraph" w:styleId="CommentSubject">
    <w:name w:val="annotation subject"/>
    <w:basedOn w:val="CommentText"/>
    <w:next w:val="CommentText"/>
    <w:link w:val="CommentSubjectChar"/>
    <w:uiPriority w:val="99"/>
    <w:semiHidden/>
    <w:unhideWhenUsed/>
    <w:rsid w:val="0045159E"/>
    <w:rPr>
      <w:b/>
      <w:bCs/>
    </w:rPr>
  </w:style>
  <w:style w:type="character" w:customStyle="1" w:styleId="CommentSubjectChar">
    <w:name w:val="Comment Subject Char"/>
    <w:basedOn w:val="CommentTextChar"/>
    <w:link w:val="CommentSubject"/>
    <w:uiPriority w:val="99"/>
    <w:semiHidden/>
    <w:rsid w:val="0045159E"/>
    <w:rPr>
      <w:b/>
      <w:bCs/>
      <w:sz w:val="20"/>
      <w:szCs w:val="20"/>
    </w:rPr>
  </w:style>
  <w:style w:type="paragraph" w:styleId="BalloonText">
    <w:name w:val="Balloon Text"/>
    <w:basedOn w:val="Normal"/>
    <w:link w:val="BalloonTextChar"/>
    <w:uiPriority w:val="99"/>
    <w:semiHidden/>
    <w:unhideWhenUsed/>
    <w:rsid w:val="00451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59E"/>
    <w:rPr>
      <w:rFonts w:ascii="Segoe UI" w:hAnsi="Segoe UI" w:cs="Segoe UI"/>
      <w:sz w:val="18"/>
      <w:szCs w:val="18"/>
    </w:rPr>
  </w:style>
  <w:style w:type="character" w:styleId="Hyperlink">
    <w:name w:val="Hyperlink"/>
    <w:basedOn w:val="DefaultParagraphFont"/>
    <w:uiPriority w:val="99"/>
    <w:semiHidden/>
    <w:unhideWhenUsed/>
    <w:rsid w:val="008B4F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emergencefoundation.uk/grants-contact" TargetMode="External"/><Relationship Id="rId9" Type="http://schemas.openxmlformats.org/officeDocument/2006/relationships/hyperlink" Target="https://www.tnlcommunityfund.org.uk/funding/funding-guidance/full-cost-recovery"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Word 12.0.0</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 Gresslin</cp:lastModifiedBy>
  <cp:revision>3</cp:revision>
  <dcterms:created xsi:type="dcterms:W3CDTF">2019-03-05T09:54:00Z</dcterms:created>
  <dcterms:modified xsi:type="dcterms:W3CDTF">2019-03-05T10:00:00Z</dcterms:modified>
</cp:coreProperties>
</file>